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0"/>
          <w:sz w:val="22"/>
          <w:szCs w:val="22"/>
          <w:vertAlign w:val="baseline"/>
        </w:rPr>
      </w:pPr>
      <w:r w:rsidDel="00000000" w:rsidR="00000000" w:rsidRPr="00000000">
        <w:rPr>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02">
      <w:pPr>
        <w:tabs>
          <w:tab w:val="left" w:leader="none" w:pos="1575"/>
          <w:tab w:val="center" w:leader="none" w:pos="4155"/>
        </w:tabs>
        <w:ind w:firstLine="1133.858267716535"/>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vertAlign w:val="baseline"/>
          <w:rtl w:val="0"/>
        </w:rPr>
        <w:tab/>
        <w:t xml:space="preserve">                                    </w:t>
        <w:tab/>
      </w:r>
      <w:r w:rsidDel="00000000" w:rsidR="00000000" w:rsidRPr="00000000">
        <w:rPr>
          <w:rFonts w:ascii="Verdana" w:cs="Verdana" w:eastAsia="Verdana" w:hAnsi="Verdana"/>
          <w:b w:val="1"/>
          <w:sz w:val="20"/>
          <w:szCs w:val="20"/>
          <w:vertAlign w:val="baseline"/>
        </w:rPr>
        <w:drawing>
          <wp:inline distB="0" distT="0" distL="114300" distR="114300">
            <wp:extent cx="513080" cy="528320"/>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13080" cy="528320"/>
                    </a:xfrm>
                    <a:prstGeom prst="rect"/>
                    <a:ln/>
                  </pic:spPr>
                </pic:pic>
              </a:graphicData>
            </a:graphic>
          </wp:inline>
        </w:drawing>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Arial" w:cs="Arial" w:eastAsia="Arial" w:hAnsi="Arial"/>
        </w:rPr>
        <w:drawing>
          <wp:inline distB="0" distT="0" distL="0" distR="0">
            <wp:extent cx="1313180" cy="725170"/>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313180" cy="72517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PODER JUDICIÁRIO </w:t>
      </w:r>
      <w:r w:rsidDel="00000000" w:rsidR="00000000" w:rsidRPr="00000000">
        <w:rPr>
          <w:rtl w:val="0"/>
        </w:rPr>
      </w:r>
    </w:p>
    <w:p w:rsidR="00000000" w:rsidDel="00000000" w:rsidP="00000000" w:rsidRDefault="00000000" w:rsidRPr="00000000" w14:paraId="00000004">
      <w:pPr>
        <w:pBdr>
          <w:bottom w:color="000000" w:space="1" w:sz="12" w:val="single"/>
        </w:pBdr>
        <w:jc w:val="center"/>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TRIBUNAL REGIONAL DO TRABALHO DA 6ª REGIÃO</w:t>
      </w:r>
      <w:r w:rsidDel="00000000" w:rsidR="00000000" w:rsidRPr="00000000">
        <w:rPr>
          <w:rtl w:val="0"/>
        </w:rPr>
      </w:r>
    </w:p>
    <w:p w:rsidR="00000000" w:rsidDel="00000000" w:rsidP="00000000" w:rsidRDefault="00000000" w:rsidRPr="00000000" w14:paraId="00000005">
      <w:pPr>
        <w:pBdr>
          <w:bottom w:color="000000" w:space="1" w:sz="12" w:val="single"/>
        </w:pBdr>
        <w:jc w:val="center"/>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SECRETARIA DE GESTÃO DE PESSOAS</w:t>
      </w:r>
      <w:r w:rsidDel="00000000" w:rsidR="00000000" w:rsidRPr="00000000">
        <w:rPr>
          <w:rtl w:val="0"/>
        </w:rPr>
      </w:r>
    </w:p>
    <w:p w:rsidR="00000000" w:rsidDel="00000000" w:rsidP="00000000" w:rsidRDefault="00000000" w:rsidRPr="00000000" w14:paraId="00000006">
      <w:pPr>
        <w:pBdr>
          <w:bottom w:color="000000" w:space="1" w:sz="12" w:val="single"/>
        </w:pBdr>
        <w:jc w:val="center"/>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COORDENADORIA DE ADMINISTRAÇÃO DE PESSOAL</w:t>
      </w:r>
      <w:r w:rsidDel="00000000" w:rsidR="00000000" w:rsidRPr="00000000">
        <w:rPr>
          <w:rtl w:val="0"/>
        </w:rPr>
      </w:r>
    </w:p>
    <w:p w:rsidR="00000000" w:rsidDel="00000000" w:rsidP="00000000" w:rsidRDefault="00000000" w:rsidRPr="00000000" w14:paraId="00000007">
      <w:pPr>
        <w:pBdr>
          <w:bottom w:color="000000" w:space="1" w:sz="12" w:val="single"/>
        </w:pBdr>
        <w:jc w:val="center"/>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NÚCLEO </w:t>
      </w:r>
      <w:r w:rsidDel="00000000" w:rsidR="00000000" w:rsidRPr="00000000">
        <w:rPr>
          <w:rFonts w:ascii="Verdana" w:cs="Verdana" w:eastAsia="Verdana" w:hAnsi="Verdana"/>
          <w:b w:val="1"/>
          <w:sz w:val="20"/>
          <w:szCs w:val="20"/>
          <w:rtl w:val="0"/>
        </w:rPr>
        <w:t xml:space="preserve">DE INFORMAÇÕES FUNCIONAIS</w:t>
      </w:r>
      <w:r w:rsidDel="00000000" w:rsidR="00000000" w:rsidRPr="00000000">
        <w:rPr>
          <w:rtl w:val="0"/>
        </w:rPr>
      </w:r>
    </w:p>
    <w:p w:rsidR="00000000" w:rsidDel="00000000" w:rsidP="00000000" w:rsidRDefault="00000000" w:rsidRPr="00000000" w14:paraId="00000008">
      <w:pPr>
        <w:jc w:val="center"/>
        <w:rPr>
          <w:b w:val="0"/>
          <w:sz w:val="22"/>
          <w:szCs w:val="22"/>
          <w:vertAlign w:val="baseline"/>
        </w:rPr>
      </w:pPr>
      <w:r w:rsidDel="00000000" w:rsidR="00000000" w:rsidRPr="00000000">
        <w:rPr>
          <w:rtl w:val="0"/>
        </w:rPr>
      </w:r>
    </w:p>
    <w:p w:rsidR="00000000" w:rsidDel="00000000" w:rsidP="00000000" w:rsidRDefault="00000000" w:rsidRPr="00000000" w14:paraId="00000009">
      <w:pPr>
        <w:jc w:val="center"/>
        <w:rPr>
          <w:b w:val="0"/>
          <w:sz w:val="22"/>
          <w:szCs w:val="22"/>
          <w:vertAlign w:val="baseline"/>
        </w:rPr>
      </w:pPr>
      <w:r w:rsidDel="00000000" w:rsidR="00000000" w:rsidRPr="00000000">
        <w:rPr>
          <w:rtl w:val="0"/>
        </w:rPr>
      </w:r>
    </w:p>
    <w:p w:rsidR="00000000" w:rsidDel="00000000" w:rsidP="00000000" w:rsidRDefault="00000000" w:rsidRPr="00000000" w14:paraId="0000000A">
      <w:pPr>
        <w:jc w:val="center"/>
        <w:rPr>
          <w:b w:val="0"/>
          <w:sz w:val="22"/>
          <w:szCs w:val="22"/>
          <w:vertAlign w:val="baseline"/>
        </w:rPr>
      </w:pPr>
      <w:r w:rsidDel="00000000" w:rsidR="00000000" w:rsidRPr="00000000">
        <w:rPr>
          <w:rtl w:val="0"/>
        </w:rPr>
      </w:r>
    </w:p>
    <w:p w:rsidR="00000000" w:rsidDel="00000000" w:rsidP="00000000" w:rsidRDefault="00000000" w:rsidRPr="00000000" w14:paraId="0000000B">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Verdana" w:cs="Verdana" w:eastAsia="Verdana" w:hAnsi="Verdana"/>
          <w:b w:val="1"/>
          <w:i w:val="0"/>
          <w:smallCaps w:val="0"/>
          <w:strike w:val="0"/>
          <w:color w:val="000000"/>
          <w:sz w:val="24"/>
          <w:szCs w:val="24"/>
          <w:u w:val="singl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single"/>
          <w:shd w:fill="auto" w:val="clear"/>
          <w:vertAlign w:val="baseline"/>
          <w:rtl w:val="0"/>
        </w:rPr>
        <w:t xml:space="preserve">DECLARAÇÃO DE NÃO ACUMULAÇÃO DE CARGOS</w:t>
      </w:r>
    </w:p>
    <w:p w:rsidR="00000000" w:rsidDel="00000000" w:rsidP="00000000" w:rsidRDefault="00000000" w:rsidRPr="00000000" w14:paraId="0000000C">
      <w:pPr>
        <w:jc w:val="center"/>
        <w:rPr>
          <w:rFonts w:ascii="Verdana" w:cs="Verdana" w:eastAsia="Verdana" w:hAnsi="Verdana"/>
          <w:b w:val="0"/>
          <w:sz w:val="20"/>
          <w:szCs w:val="20"/>
          <w:u w:val="single"/>
          <w:vertAlign w:val="baseline"/>
        </w:rPr>
      </w:pPr>
      <w:r w:rsidDel="00000000" w:rsidR="00000000" w:rsidRPr="00000000">
        <w:rPr>
          <w:rtl w:val="0"/>
        </w:rPr>
      </w:r>
    </w:p>
    <w:p w:rsidR="00000000" w:rsidDel="00000000" w:rsidP="00000000" w:rsidRDefault="00000000" w:rsidRPr="00000000" w14:paraId="0000000D">
      <w:pPr>
        <w:jc w:val="center"/>
        <w:rPr>
          <w:rFonts w:ascii="Verdana" w:cs="Verdana" w:eastAsia="Verdana" w:hAnsi="Verdana"/>
          <w:b w:val="0"/>
          <w:sz w:val="20"/>
          <w:szCs w:val="20"/>
          <w:u w:val="single"/>
          <w:vertAlign w:val="baseline"/>
        </w:rPr>
      </w:pPr>
      <w:r w:rsidDel="00000000" w:rsidR="00000000" w:rsidRPr="00000000">
        <w:rPr>
          <w:rtl w:val="0"/>
        </w:rPr>
      </w:r>
    </w:p>
    <w:p w:rsidR="00000000" w:rsidDel="00000000" w:rsidP="00000000" w:rsidRDefault="00000000" w:rsidRPr="00000000" w14:paraId="0000000E">
      <w:pPr>
        <w:spacing w:line="480" w:lineRule="auto"/>
        <w:ind w:firstLine="1418"/>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ab/>
        <w:t xml:space="preserve">         </w:t>
      </w:r>
    </w:p>
    <w:p w:rsidR="00000000" w:rsidDel="00000000" w:rsidP="00000000" w:rsidRDefault="00000000" w:rsidRPr="00000000" w14:paraId="0000000F">
      <w:pPr>
        <w:spacing w:after="120" w:lineRule="auto"/>
        <w:ind w:firstLine="1134"/>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Eu</w:t>
      </w:r>
      <w:r w:rsidDel="00000000" w:rsidR="00000000" w:rsidRPr="00000000">
        <w:rPr>
          <w:rFonts w:ascii="Verdana" w:cs="Verdana" w:eastAsia="Verdana" w:hAnsi="Verdana"/>
          <w:smallCaps w:val="1"/>
          <w:sz w:val="20"/>
          <w:szCs w:val="20"/>
          <w:vertAlign w:val="baseline"/>
          <w:rtl w:val="0"/>
        </w:rPr>
        <w:t xml:space="preserve">, </w:t>
      </w:r>
      <w:r w:rsidDel="00000000" w:rsidR="00000000" w:rsidRPr="00000000">
        <w:rPr>
          <w:rFonts w:ascii="Verdana" w:cs="Verdana" w:eastAsia="Verdana" w:hAnsi="Verdana"/>
          <w:smallCaps w:val="1"/>
          <w:sz w:val="20"/>
          <w:szCs w:val="20"/>
          <w:vertAlign w:val="baseline"/>
          <w:rtl w:val="0"/>
        </w:rPr>
        <w:t xml:space="preserve">_____________________________,</w:t>
      </w:r>
      <w:r w:rsidDel="00000000" w:rsidR="00000000" w:rsidRPr="00000000">
        <w:rPr>
          <w:rFonts w:ascii="Verdana" w:cs="Verdana" w:eastAsia="Verdana" w:hAnsi="Verdana"/>
          <w:b w:val="1"/>
          <w:sz w:val="20"/>
          <w:szCs w:val="20"/>
          <w:vertAlign w:val="baseline"/>
          <w:rtl w:val="0"/>
        </w:rPr>
        <w:t xml:space="preserve"> DECLARO, </w:t>
      </w:r>
      <w:r w:rsidDel="00000000" w:rsidR="00000000" w:rsidRPr="00000000">
        <w:rPr>
          <w:rFonts w:ascii="Verdana" w:cs="Verdana" w:eastAsia="Verdana" w:hAnsi="Verdana"/>
          <w:sz w:val="20"/>
          <w:szCs w:val="20"/>
          <w:vertAlign w:val="baseline"/>
          <w:rtl w:val="0"/>
        </w:rPr>
        <w:t xml:space="preserve">para fins de posse no cargo efetivo de __________________________ Área _______________ Especialidade ___________________________, do</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sz w:val="20"/>
          <w:szCs w:val="20"/>
          <w:vertAlign w:val="baseline"/>
          <w:rtl w:val="0"/>
        </w:rPr>
        <w:t xml:space="preserve">Quadro de Pessoal do Tribunal Regional do Trabalho da Sexta Região, para o qual fui nomeado(a) pelo Ato TRT-GP nº _____ de ____ / _____ / _______, publicado no Diário Oficial da União nº____, Seção ____, página _____, de ____ / ____ / _____, que </w:t>
      </w:r>
      <w:r w:rsidDel="00000000" w:rsidR="00000000" w:rsidRPr="00000000">
        <w:rPr>
          <w:rFonts w:ascii="Verdana" w:cs="Verdana" w:eastAsia="Verdana" w:hAnsi="Verdana"/>
          <w:b w:val="1"/>
          <w:sz w:val="20"/>
          <w:szCs w:val="20"/>
          <w:vertAlign w:val="baseline"/>
          <w:rtl w:val="0"/>
        </w:rPr>
        <w:t xml:space="preserve">NÃO EXERÇO OUTRO CARGO, EMPREGO OU FUNÇÃO PÚBLICA</w:t>
      </w:r>
      <w:r w:rsidDel="00000000" w:rsidR="00000000" w:rsidRPr="00000000">
        <w:rPr>
          <w:rFonts w:ascii="Verdana" w:cs="Verdana" w:eastAsia="Verdana" w:hAnsi="Verdana"/>
          <w:sz w:val="20"/>
          <w:szCs w:val="20"/>
          <w:vertAlign w:val="baseline"/>
          <w:rtl w:val="0"/>
        </w:rPr>
        <w:t xml:space="preserve"> no âmbito da Administração Pública Federal, Estadual ou Municipal, Direta ou Indireta, conforme estabelecido pelo Art. 37, incisos XVI</w:t>
      </w:r>
      <w:r w:rsidDel="00000000" w:rsidR="00000000" w:rsidRPr="00000000">
        <w:rPr>
          <w:rFonts w:ascii="Verdana" w:cs="Verdana" w:eastAsia="Verdana" w:hAnsi="Verdana"/>
          <w:sz w:val="20"/>
          <w:szCs w:val="20"/>
          <w:rtl w:val="0"/>
        </w:rPr>
        <w:t xml:space="preserve"> e XVII</w:t>
      </w:r>
      <w:r w:rsidDel="00000000" w:rsidR="00000000" w:rsidRPr="00000000">
        <w:rPr>
          <w:rFonts w:ascii="Verdana" w:cs="Verdana" w:eastAsia="Verdana" w:hAnsi="Verdana"/>
          <w:sz w:val="20"/>
          <w:szCs w:val="20"/>
          <w:vertAlign w:val="baseline"/>
          <w:rtl w:val="0"/>
        </w:rPr>
        <w:t xml:space="preserve"> da Constituição Federal.</w:t>
      </w:r>
    </w:p>
    <w:p w:rsidR="00000000" w:rsidDel="00000000" w:rsidP="00000000" w:rsidRDefault="00000000" w:rsidRPr="00000000" w14:paraId="00000010">
      <w:pPr>
        <w:spacing w:after="120" w:lineRule="auto"/>
        <w:ind w:firstLine="1134"/>
        <w:jc w:val="both"/>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vertAlign w:val="baseline"/>
          <w:rtl w:val="0"/>
        </w:rPr>
        <w:t xml:space="preserve">DECLARO mais</w:t>
      </w:r>
      <w:r w:rsidDel="00000000" w:rsidR="00000000" w:rsidRPr="00000000">
        <w:rPr>
          <w:rFonts w:ascii="Verdana" w:cs="Verdana" w:eastAsia="Verdana" w:hAnsi="Verdana"/>
          <w:sz w:val="20"/>
          <w:szCs w:val="20"/>
          <w:vertAlign w:val="baseline"/>
          <w:rtl w:val="0"/>
        </w:rPr>
        <w:t xml:space="preserve">, não ser ocupante de outro cargo ou emprego público, do qual esteja afastado por motivo de licença sem remuneração. </w:t>
      </w:r>
    </w:p>
    <w:p w:rsidR="00000000" w:rsidDel="00000000" w:rsidP="00000000" w:rsidRDefault="00000000" w:rsidRPr="00000000" w14:paraId="00000011">
      <w:pPr>
        <w:ind w:firstLine="1418"/>
        <w:jc w:val="both"/>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12">
      <w:pPr>
        <w:spacing w:line="480" w:lineRule="auto"/>
        <w:ind w:firstLine="1418"/>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w:t>
      </w:r>
    </w:p>
    <w:p w:rsidR="00000000" w:rsidDel="00000000" w:rsidP="00000000" w:rsidRDefault="00000000" w:rsidRPr="00000000" w14:paraId="00000013">
      <w:pPr>
        <w:spacing w:line="480" w:lineRule="auto"/>
        <w:ind w:left="426" w:firstLine="708.0000000000001"/>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Recife(PE), ____ de ________________ de </w:t>
      </w:r>
      <w:r w:rsidDel="00000000" w:rsidR="00000000" w:rsidRPr="00000000">
        <w:rPr>
          <w:rFonts w:ascii="Verdana" w:cs="Verdana" w:eastAsia="Verdana" w:hAnsi="Verdana"/>
          <w:sz w:val="20"/>
          <w:szCs w:val="20"/>
          <w:rtl w:val="0"/>
        </w:rPr>
        <w:t xml:space="preserve">__</w:t>
      </w:r>
      <w:r w:rsidDel="00000000" w:rsidR="00000000" w:rsidRPr="00000000">
        <w:rPr>
          <w:rFonts w:ascii="Verdana" w:cs="Verdana" w:eastAsia="Verdana" w:hAnsi="Verdana"/>
          <w:sz w:val="20"/>
          <w:szCs w:val="20"/>
          <w:vertAlign w:val="baseline"/>
          <w:rtl w:val="0"/>
        </w:rPr>
        <w:t xml:space="preserve">___.</w:t>
      </w:r>
    </w:p>
    <w:p w:rsidR="00000000" w:rsidDel="00000000" w:rsidP="00000000" w:rsidRDefault="00000000" w:rsidRPr="00000000" w14:paraId="00000014">
      <w:pPr>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w:t>
      </w:r>
    </w:p>
    <w:p w:rsidR="00000000" w:rsidDel="00000000" w:rsidP="00000000" w:rsidRDefault="00000000" w:rsidRPr="00000000" w14:paraId="00000015">
      <w:pPr>
        <w:jc w:val="both"/>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16">
      <w:pPr>
        <w:jc w:val="center"/>
        <w:rPr>
          <w:rFonts w:ascii="Verdana" w:cs="Verdana" w:eastAsia="Verdana" w:hAnsi="Verdana"/>
          <w:sz w:val="20"/>
          <w:szCs w:val="20"/>
          <w:u w:val="single"/>
          <w:vertAlign w:val="baseline"/>
        </w:rPr>
      </w:pPr>
      <w:r w:rsidDel="00000000" w:rsidR="00000000" w:rsidRPr="00000000">
        <w:rPr>
          <w:rFonts w:ascii="Verdana" w:cs="Verdana" w:eastAsia="Verdana" w:hAnsi="Verdana"/>
          <w:sz w:val="20"/>
          <w:szCs w:val="20"/>
          <w:u w:val="single"/>
          <w:vertAlign w:val="baseline"/>
          <w:rtl w:val="0"/>
        </w:rPr>
        <w:t xml:space="preserve">____________________________________</w:t>
      </w:r>
    </w:p>
    <w:p w:rsidR="00000000" w:rsidDel="00000000" w:rsidP="00000000" w:rsidRDefault="00000000" w:rsidRPr="00000000" w14:paraId="00000017">
      <w:pPr>
        <w:jc w:val="center"/>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Assinatura</w:t>
      </w:r>
      <w:r w:rsidDel="00000000" w:rsidR="00000000" w:rsidRPr="00000000">
        <w:rPr>
          <w:rtl w:val="0"/>
        </w:rPr>
      </w:r>
    </w:p>
    <w:p w:rsidR="00000000" w:rsidDel="00000000" w:rsidP="00000000" w:rsidRDefault="00000000" w:rsidRPr="00000000" w14:paraId="00000018">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9">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A">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B">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C">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D">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E">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F">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0">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1">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2">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3">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4">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5">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6">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7">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8">
      <w:pPr>
        <w:pStyle w:val="Heading1"/>
        <w:keepLines w:val="0"/>
        <w:numPr>
          <w:ilvl w:val="0"/>
          <w:numId w:val="1"/>
        </w:numPr>
        <w:tabs>
          <w:tab w:val="left" w:leader="none" w:pos="0"/>
        </w:tabs>
        <w:spacing w:after="0" w:before="0" w:lineRule="auto"/>
        <w:ind w:left="-566.9291338582675" w:firstLine="0"/>
        <w:jc w:val="both"/>
        <w:rPr>
          <w:rFonts w:ascii="Verdana" w:cs="Verdana" w:eastAsia="Verdana" w:hAnsi="Verdana"/>
          <w:b w:val="1"/>
          <w:sz w:val="16"/>
          <w:szCs w:val="16"/>
        </w:rPr>
      </w:pPr>
      <w:r w:rsidDel="00000000" w:rsidR="00000000" w:rsidRPr="00000000">
        <w:rPr>
          <w:rFonts w:ascii="Verdana" w:cs="Verdana" w:eastAsia="Verdana" w:hAnsi="Verdana"/>
          <w:sz w:val="16"/>
          <w:szCs w:val="16"/>
          <w:rtl w:val="0"/>
        </w:rPr>
        <w:t xml:space="preserve">“CONSTITUIÇÃO FEDERAL, conferida com as EC nºs 19/1998 e 34/2001</w:t>
      </w:r>
    </w:p>
    <w:p w:rsidR="00000000" w:rsidDel="00000000" w:rsidP="00000000" w:rsidRDefault="00000000" w:rsidRPr="00000000" w14:paraId="00000029">
      <w:pPr>
        <w:pStyle w:val="Heading1"/>
        <w:keepLines w:val="0"/>
        <w:numPr>
          <w:ilvl w:val="0"/>
          <w:numId w:val="1"/>
        </w:numPr>
        <w:tabs>
          <w:tab w:val="left" w:leader="none" w:pos="0"/>
        </w:tabs>
        <w:spacing w:after="0" w:before="0" w:lineRule="auto"/>
        <w:ind w:left="-566.9291338582675" w:firstLine="0"/>
        <w:jc w:val="both"/>
        <w:rPr>
          <w:rFonts w:ascii="Verdana" w:cs="Verdana" w:eastAsia="Verdana" w:hAnsi="Verdana"/>
          <w:sz w:val="16"/>
          <w:szCs w:val="16"/>
        </w:rPr>
      </w:pPr>
      <w:r w:rsidDel="00000000" w:rsidR="00000000" w:rsidRPr="00000000">
        <w:rPr>
          <w:rFonts w:ascii="Verdana" w:cs="Verdana" w:eastAsia="Verdana" w:hAnsi="Verdana"/>
          <w:b w:val="0"/>
          <w:sz w:val="16"/>
          <w:szCs w:val="16"/>
          <w:rtl w:val="0"/>
        </w:rPr>
        <w:t xml:space="preserve">(...)</w:t>
      </w:r>
    </w:p>
    <w:p w:rsidR="00000000" w:rsidDel="00000000" w:rsidP="00000000" w:rsidRDefault="00000000" w:rsidRPr="00000000" w14:paraId="0000002A">
      <w:pPr>
        <w:pStyle w:val="Heading1"/>
        <w:keepLines w:val="0"/>
        <w:numPr>
          <w:ilvl w:val="0"/>
          <w:numId w:val="1"/>
        </w:numPr>
        <w:tabs>
          <w:tab w:val="left" w:leader="none" w:pos="0"/>
        </w:tabs>
        <w:spacing w:after="0" w:before="0" w:lineRule="auto"/>
        <w:ind w:left="-566.9291338582675" w:firstLine="0"/>
        <w:jc w:val="both"/>
        <w:rPr>
          <w:rFonts w:ascii="Verdana" w:cs="Verdana" w:eastAsia="Verdana" w:hAnsi="Verdana"/>
          <w:b w:val="1"/>
          <w:sz w:val="16"/>
          <w:szCs w:val="16"/>
        </w:rPr>
      </w:pPr>
      <w:r w:rsidDel="00000000" w:rsidR="00000000" w:rsidRPr="00000000">
        <w:rPr>
          <w:rFonts w:ascii="Verdana" w:cs="Verdana" w:eastAsia="Verdana" w:hAnsi="Verdana"/>
          <w:sz w:val="16"/>
          <w:szCs w:val="16"/>
          <w:rtl w:val="0"/>
        </w:rPr>
        <w:t xml:space="preserve">Art. 37.</w:t>
      </w:r>
      <w:r w:rsidDel="00000000" w:rsidR="00000000" w:rsidRPr="00000000">
        <w:rPr>
          <w:rFonts w:ascii="Verdana" w:cs="Verdana" w:eastAsia="Verdana" w:hAnsi="Verdana"/>
          <w:b w:val="0"/>
          <w:sz w:val="16"/>
          <w:szCs w:val="16"/>
          <w:rtl w:val="0"/>
        </w:rPr>
        <w:t xml:space="preserve"> A administração pública direta e indireta de qualquer dos Poderes da União, dos Estados, do Distrito Federal e dos Municípios obedecerá aos princípios de legalidade, impessoalidade, moralidade, publicidade e eficiência e, também, ao seguinte:</w:t>
      </w:r>
    </w:p>
    <w:p w:rsidR="00000000" w:rsidDel="00000000" w:rsidP="00000000" w:rsidRDefault="00000000" w:rsidRPr="00000000" w14:paraId="0000002B">
      <w:pPr>
        <w:pStyle w:val="Heading1"/>
        <w:keepLines w:val="0"/>
        <w:numPr>
          <w:ilvl w:val="0"/>
          <w:numId w:val="1"/>
        </w:numPr>
        <w:tabs>
          <w:tab w:val="left" w:leader="none" w:pos="0"/>
        </w:tabs>
        <w:spacing w:after="0" w:before="0" w:lineRule="auto"/>
        <w:ind w:left="-566.9291338582675" w:firstLine="0"/>
        <w:jc w:val="both"/>
        <w:rPr>
          <w:rFonts w:ascii="Verdana" w:cs="Verdana" w:eastAsia="Verdana" w:hAnsi="Verdana"/>
          <w:sz w:val="16"/>
          <w:szCs w:val="16"/>
        </w:rPr>
      </w:pPr>
      <w:r w:rsidDel="00000000" w:rsidR="00000000" w:rsidRPr="00000000">
        <w:rPr>
          <w:rFonts w:ascii="Verdana" w:cs="Verdana" w:eastAsia="Verdana" w:hAnsi="Verdana"/>
          <w:b w:val="0"/>
          <w:sz w:val="16"/>
          <w:szCs w:val="16"/>
          <w:rtl w:val="0"/>
        </w:rPr>
        <w:t xml:space="preserve">(...)</w:t>
      </w:r>
    </w:p>
    <w:p w:rsidR="00000000" w:rsidDel="00000000" w:rsidP="00000000" w:rsidRDefault="00000000" w:rsidRPr="00000000" w14:paraId="0000002C">
      <w:pPr>
        <w:pStyle w:val="Heading1"/>
        <w:keepLines w:val="0"/>
        <w:numPr>
          <w:ilvl w:val="0"/>
          <w:numId w:val="1"/>
        </w:numPr>
        <w:tabs>
          <w:tab w:val="left" w:leader="none" w:pos="0"/>
        </w:tabs>
        <w:spacing w:after="0" w:before="0" w:lineRule="auto"/>
        <w:ind w:left="-566.9291338582675" w:firstLine="0"/>
        <w:jc w:val="both"/>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XVI -</w:t>
      </w:r>
      <w:r w:rsidDel="00000000" w:rsidR="00000000" w:rsidRPr="00000000">
        <w:rPr>
          <w:rFonts w:ascii="Verdana" w:cs="Verdana" w:eastAsia="Verdana" w:hAnsi="Verdana"/>
          <w:b w:val="0"/>
          <w:sz w:val="16"/>
          <w:szCs w:val="16"/>
          <w:rtl w:val="0"/>
        </w:rPr>
        <w:t xml:space="preserve"> é vedada a acumulação remunerada de cargos públicos, exceto, quando houver compatibilidade de horários, observado em qualquer caso o disposto no inciso XI:</w:t>
      </w:r>
    </w:p>
    <w:p w:rsidR="00000000" w:rsidDel="00000000" w:rsidP="00000000" w:rsidRDefault="00000000" w:rsidRPr="00000000" w14:paraId="0000002D">
      <w:pPr>
        <w:pStyle w:val="Heading1"/>
        <w:keepLines w:val="0"/>
        <w:numPr>
          <w:ilvl w:val="0"/>
          <w:numId w:val="1"/>
        </w:numPr>
        <w:tabs>
          <w:tab w:val="left" w:leader="none" w:pos="0"/>
        </w:tabs>
        <w:spacing w:after="0" w:before="0" w:lineRule="auto"/>
        <w:ind w:left="-566.9291338582675" w:firstLine="0"/>
        <w:jc w:val="both"/>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w:t>
      </w:r>
      <w:r w:rsidDel="00000000" w:rsidR="00000000" w:rsidRPr="00000000">
        <w:rPr>
          <w:rFonts w:ascii="Verdana" w:cs="Verdana" w:eastAsia="Verdana" w:hAnsi="Verdana"/>
          <w:b w:val="0"/>
          <w:sz w:val="16"/>
          <w:szCs w:val="16"/>
          <w:rtl w:val="0"/>
        </w:rPr>
        <w:t xml:space="preserve"> a de dois cargos de professor;</w:t>
      </w:r>
    </w:p>
    <w:p w:rsidR="00000000" w:rsidDel="00000000" w:rsidP="00000000" w:rsidRDefault="00000000" w:rsidRPr="00000000" w14:paraId="0000002E">
      <w:pPr>
        <w:pStyle w:val="Heading1"/>
        <w:keepLines w:val="0"/>
        <w:numPr>
          <w:ilvl w:val="0"/>
          <w:numId w:val="1"/>
        </w:numPr>
        <w:tabs>
          <w:tab w:val="left" w:leader="none" w:pos="0"/>
        </w:tabs>
        <w:spacing w:after="0" w:before="0" w:lineRule="auto"/>
        <w:ind w:left="-566.9291338582675" w:firstLine="0"/>
        <w:jc w:val="both"/>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w:t>
      </w:r>
      <w:r w:rsidDel="00000000" w:rsidR="00000000" w:rsidRPr="00000000">
        <w:rPr>
          <w:rFonts w:ascii="Verdana" w:cs="Verdana" w:eastAsia="Verdana" w:hAnsi="Verdana"/>
          <w:b w:val="0"/>
          <w:sz w:val="16"/>
          <w:szCs w:val="16"/>
          <w:rtl w:val="0"/>
        </w:rPr>
        <w:t xml:space="preserve"> a de um cargo de professor com outro técnico ou científico;</w:t>
      </w:r>
    </w:p>
    <w:p w:rsidR="00000000" w:rsidDel="00000000" w:rsidP="00000000" w:rsidRDefault="00000000" w:rsidRPr="00000000" w14:paraId="0000002F">
      <w:pPr>
        <w:pStyle w:val="Heading1"/>
        <w:keepLines w:val="0"/>
        <w:numPr>
          <w:ilvl w:val="0"/>
          <w:numId w:val="1"/>
        </w:numPr>
        <w:tabs>
          <w:tab w:val="left" w:leader="none" w:pos="0"/>
        </w:tabs>
        <w:spacing w:after="0" w:before="0" w:lineRule="auto"/>
        <w:ind w:left="-566.9291338582675" w:firstLine="0"/>
        <w:jc w:val="both"/>
        <w:rPr>
          <w:rFonts w:ascii="Verdana" w:cs="Verdana" w:eastAsia="Verdana" w:hAnsi="Verdana"/>
          <w:b w:val="1"/>
          <w:sz w:val="16"/>
          <w:szCs w:val="16"/>
        </w:rPr>
      </w:pPr>
      <w:r w:rsidDel="00000000" w:rsidR="00000000" w:rsidRPr="00000000">
        <w:rPr>
          <w:rFonts w:ascii="Verdana" w:cs="Verdana" w:eastAsia="Verdana" w:hAnsi="Verdana"/>
          <w:sz w:val="16"/>
          <w:szCs w:val="16"/>
          <w:rtl w:val="0"/>
        </w:rPr>
        <w:t xml:space="preserve">c)</w:t>
      </w:r>
      <w:r w:rsidDel="00000000" w:rsidR="00000000" w:rsidRPr="00000000">
        <w:rPr>
          <w:rFonts w:ascii="Verdana" w:cs="Verdana" w:eastAsia="Verdana" w:hAnsi="Verdana"/>
          <w:b w:val="0"/>
          <w:sz w:val="16"/>
          <w:szCs w:val="16"/>
          <w:rtl w:val="0"/>
        </w:rPr>
        <w:t xml:space="preserve"> a de dois cargos ou empregos privativos de profissionais de saúde, com profissões regulamentadas;</w:t>
      </w:r>
      <w:r w:rsidDel="00000000" w:rsidR="00000000" w:rsidRPr="00000000">
        <w:rPr>
          <w:rtl w:val="0"/>
        </w:rPr>
      </w:r>
    </w:p>
    <w:p w:rsidR="00000000" w:rsidDel="00000000" w:rsidP="00000000" w:rsidRDefault="00000000" w:rsidRPr="00000000" w14:paraId="00000030">
      <w:pPr>
        <w:pStyle w:val="Heading1"/>
        <w:keepLines w:val="0"/>
        <w:numPr>
          <w:ilvl w:val="0"/>
          <w:numId w:val="1"/>
        </w:numPr>
        <w:tabs>
          <w:tab w:val="left" w:leader="none" w:pos="0"/>
        </w:tabs>
        <w:spacing w:after="0" w:before="0" w:lineRule="auto"/>
        <w:ind w:left="-566.9291338582675" w:firstLine="0"/>
        <w:jc w:val="both"/>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XVII -</w:t>
      </w:r>
      <w:r w:rsidDel="00000000" w:rsidR="00000000" w:rsidRPr="00000000">
        <w:rPr>
          <w:rFonts w:ascii="Verdana" w:cs="Verdana" w:eastAsia="Verdana" w:hAnsi="Verdana"/>
          <w:b w:val="0"/>
          <w:sz w:val="16"/>
          <w:szCs w:val="16"/>
          <w:rtl w:val="0"/>
        </w:rPr>
        <w:t xml:space="preserve"> a proibição de acumular estende-se a empregos e funções e abrange autarquias, fundações, empresas públicas, sociedades de economia mista, suas subsidiárias, e sociedades controladas, direta ou indiretamente, pelo poder público;”</w:t>
      </w:r>
      <w:r w:rsidDel="00000000" w:rsidR="00000000" w:rsidRPr="00000000">
        <w:rPr>
          <w:rtl w:val="0"/>
        </w:rPr>
      </w:r>
    </w:p>
    <w:p w:rsidR="00000000" w:rsidDel="00000000" w:rsidP="00000000" w:rsidRDefault="00000000" w:rsidRPr="00000000" w14:paraId="00000031">
      <w:pPr>
        <w:pStyle w:val="Heading1"/>
        <w:keepLines w:val="0"/>
        <w:numPr>
          <w:ilvl w:val="0"/>
          <w:numId w:val="1"/>
        </w:numPr>
        <w:tabs>
          <w:tab w:val="left" w:leader="none" w:pos="0"/>
        </w:tabs>
        <w:spacing w:after="0" w:before="0" w:lineRule="auto"/>
        <w:ind w:left="-566.9291338582675" w:firstLine="0"/>
        <w:jc w:val="both"/>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32">
      <w:pPr>
        <w:pStyle w:val="Heading1"/>
        <w:keepLines w:val="0"/>
        <w:numPr>
          <w:ilvl w:val="0"/>
          <w:numId w:val="1"/>
        </w:numPr>
        <w:tabs>
          <w:tab w:val="left" w:leader="none" w:pos="0"/>
        </w:tabs>
        <w:spacing w:after="0" w:before="0" w:lineRule="auto"/>
        <w:ind w:left="-566.9291338582675" w:firstLine="0"/>
        <w:jc w:val="both"/>
        <w:rPr>
          <w:rFonts w:ascii="Verdana" w:cs="Verdana" w:eastAsia="Verdana" w:hAnsi="Verdana"/>
          <w:b w:val="1"/>
          <w:sz w:val="16"/>
          <w:szCs w:val="16"/>
        </w:rPr>
      </w:pPr>
      <w:r w:rsidDel="00000000" w:rsidR="00000000" w:rsidRPr="00000000">
        <w:rPr>
          <w:rFonts w:ascii="Verdana" w:cs="Verdana" w:eastAsia="Verdana" w:hAnsi="Verdana"/>
          <w:sz w:val="16"/>
          <w:szCs w:val="16"/>
          <w:rtl w:val="0"/>
        </w:rPr>
        <w:t xml:space="preserve">“Lei nº 8.027, de 12 de abril de 1990</w:t>
      </w:r>
    </w:p>
    <w:p w:rsidR="00000000" w:rsidDel="00000000" w:rsidP="00000000" w:rsidRDefault="00000000" w:rsidRPr="00000000" w14:paraId="00000033">
      <w:pPr>
        <w:ind w:left="-566.9291338582675" w:firstLine="0"/>
        <w:jc w:val="both"/>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t>
      </w:r>
    </w:p>
    <w:p w:rsidR="00000000" w:rsidDel="00000000" w:rsidP="00000000" w:rsidRDefault="00000000" w:rsidRPr="00000000" w14:paraId="00000034">
      <w:pPr>
        <w:ind w:left="-566.9291338582675" w:firstLine="0"/>
        <w:jc w:val="both"/>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Art. 6º</w:t>
      </w:r>
      <w:r w:rsidDel="00000000" w:rsidR="00000000" w:rsidRPr="00000000">
        <w:rPr>
          <w:rFonts w:ascii="Verdana" w:cs="Verdana" w:eastAsia="Verdana" w:hAnsi="Verdana"/>
          <w:sz w:val="16"/>
          <w:szCs w:val="16"/>
          <w:rtl w:val="0"/>
        </w:rPr>
        <w:t xml:space="preserve"> - Constitui infração grave, passível de aplicação da pena de demissão, a acumulação remunerada de cargos, empregos e funções públicas, vedada pela Constituição Federal, estendendo-se às autarquias, empresas públicas, sociedades de economia mista da União, dos Estados, do Distrito Federal e dos Municípios, e fundações mantidos pelo Poder Público.</w:t>
      </w:r>
    </w:p>
    <w:p w:rsidR="00000000" w:rsidDel="00000000" w:rsidP="00000000" w:rsidRDefault="00000000" w:rsidRPr="00000000" w14:paraId="00000035">
      <w:pPr>
        <w:ind w:left="-566.9291338582675" w:firstLine="0"/>
        <w:jc w:val="both"/>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Art. 7º</w:t>
      </w:r>
      <w:r w:rsidDel="00000000" w:rsidR="00000000" w:rsidRPr="00000000">
        <w:rPr>
          <w:rFonts w:ascii="Verdana" w:cs="Verdana" w:eastAsia="Verdana" w:hAnsi="Verdana"/>
          <w:sz w:val="16"/>
          <w:szCs w:val="16"/>
          <w:rtl w:val="0"/>
        </w:rPr>
        <w:t xml:space="preserve"> - Os servidores públicos civis são obrigados a declarar, no ato de investidura e sob as penas da lei quais os cargos públicos, empregos e funções que exercem, abrangidos ou não pela vedação constitucional, devendo fazer prova de exoneração ou demissão, na data da investidura, na hipótese de acumulação constitucionalmente vedada.</w:t>
      </w:r>
    </w:p>
    <w:p w:rsidR="00000000" w:rsidDel="00000000" w:rsidP="00000000" w:rsidRDefault="00000000" w:rsidRPr="00000000" w14:paraId="00000036">
      <w:pPr>
        <w:ind w:left="-566.9291338582675" w:firstLine="0"/>
        <w:jc w:val="both"/>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 1º</w:t>
      </w:r>
      <w:r w:rsidDel="00000000" w:rsidR="00000000" w:rsidRPr="00000000">
        <w:rPr>
          <w:rFonts w:ascii="Verdana" w:cs="Verdana" w:eastAsia="Verdana" w:hAnsi="Verdana"/>
          <w:sz w:val="16"/>
          <w:szCs w:val="16"/>
          <w:rtl w:val="0"/>
        </w:rPr>
        <w:t xml:space="preserve"> - Todos os atuais servidores públicos civis deverão apresentar ao respectivo órgão de pessoal, no prazo estabelecido pelo Poder Executivo, a declaração a que se refere o caput deste artigo.</w:t>
      </w:r>
    </w:p>
    <w:p w:rsidR="00000000" w:rsidDel="00000000" w:rsidP="00000000" w:rsidRDefault="00000000" w:rsidRPr="00000000" w14:paraId="00000037">
      <w:pPr>
        <w:shd w:fill="ffffff" w:val="clear"/>
        <w:ind w:left="-566.9291338582675" w:firstLine="0"/>
        <w:jc w:val="both"/>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 2º</w:t>
      </w:r>
      <w:r w:rsidDel="00000000" w:rsidR="00000000" w:rsidRPr="00000000">
        <w:rPr>
          <w:rFonts w:ascii="Verdana" w:cs="Verdana" w:eastAsia="Verdana" w:hAnsi="Verdana"/>
          <w:sz w:val="16"/>
          <w:szCs w:val="16"/>
          <w:rtl w:val="0"/>
        </w:rPr>
        <w:t xml:space="preserve"> Caberá ao órgão de pessoal fazer a verificação da incidência ou não da acumulação vedada pela Constituição Federal.</w:t>
      </w:r>
    </w:p>
    <w:p w:rsidR="00000000" w:rsidDel="00000000" w:rsidP="00000000" w:rsidRDefault="00000000" w:rsidRPr="00000000" w14:paraId="00000038">
      <w:pPr>
        <w:shd w:fill="ffffff" w:val="clear"/>
        <w:ind w:left="-566.9291338582675" w:firstLine="0"/>
        <w:jc w:val="both"/>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 3º</w:t>
      </w:r>
      <w:r w:rsidDel="00000000" w:rsidR="00000000" w:rsidRPr="00000000">
        <w:rPr>
          <w:rFonts w:ascii="Verdana" w:cs="Verdana" w:eastAsia="Verdana" w:hAnsi="Verdana"/>
          <w:sz w:val="16"/>
          <w:szCs w:val="16"/>
          <w:rtl w:val="0"/>
        </w:rPr>
        <w:t xml:space="preserve"> Verificada, a qualquer tempo, a incidência da acumulação vedada, assim como a não apresentação, pelo servidor, no prazo a que se refere o § 1º deste artigo, da respectiva declaração de acumulação de que trata o caput, a autoridade competente promoverá a imediata instauração do processo administrativo para a apuração da infração disciplinar, nos termos desta lei, sob pena de destituição do cargo em comissão ou função de confiança, da autoridade e do chefe de pessoal.”</w:t>
      </w:r>
    </w:p>
    <w:p w:rsidR="00000000" w:rsidDel="00000000" w:rsidP="00000000" w:rsidRDefault="00000000" w:rsidRPr="00000000" w14:paraId="00000039">
      <w:pPr>
        <w:shd w:fill="ffffff" w:val="clear"/>
        <w:ind w:left="-566.9291338582675" w:firstLine="0"/>
        <w:jc w:val="both"/>
        <w:rPr>
          <w:rFonts w:ascii="Verdana" w:cs="Verdana" w:eastAsia="Verdana" w:hAnsi="Verdana"/>
          <w:i w:val="1"/>
          <w:sz w:val="16"/>
          <w:szCs w:val="16"/>
          <w:highlight w:val="yellow"/>
        </w:rPr>
      </w:pPr>
      <w:r w:rsidDel="00000000" w:rsidR="00000000" w:rsidRPr="00000000">
        <w:rPr>
          <w:rtl w:val="0"/>
        </w:rPr>
      </w:r>
    </w:p>
    <w:p w:rsidR="00000000" w:rsidDel="00000000" w:rsidP="00000000" w:rsidRDefault="00000000" w:rsidRPr="00000000" w14:paraId="0000003A">
      <w:pPr>
        <w:shd w:fill="ffffff" w:val="clear"/>
        <w:ind w:left="-566.9291338582675" w:firstLine="0"/>
        <w:jc w:val="both"/>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“Lei nº 8.112, de 11 de dezembro de 1990</w:t>
      </w:r>
    </w:p>
    <w:p w:rsidR="00000000" w:rsidDel="00000000" w:rsidP="00000000" w:rsidRDefault="00000000" w:rsidRPr="00000000" w14:paraId="0000003B">
      <w:pPr>
        <w:shd w:fill="ffffff" w:val="clear"/>
        <w:ind w:left="-566.9291338582675" w:firstLine="0"/>
        <w:jc w:val="both"/>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t>
      </w:r>
    </w:p>
    <w:p w:rsidR="00000000" w:rsidDel="00000000" w:rsidP="00000000" w:rsidRDefault="00000000" w:rsidRPr="00000000" w14:paraId="0000003C">
      <w:pPr>
        <w:shd w:fill="ffffff" w:val="clear"/>
        <w:ind w:left="-566.9291338582675" w:firstLine="0"/>
        <w:jc w:val="both"/>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Art. 118.  </w:t>
      </w:r>
      <w:r w:rsidDel="00000000" w:rsidR="00000000" w:rsidRPr="00000000">
        <w:rPr>
          <w:rFonts w:ascii="Verdana" w:cs="Verdana" w:eastAsia="Verdana" w:hAnsi="Verdana"/>
          <w:sz w:val="16"/>
          <w:szCs w:val="16"/>
          <w:rtl w:val="0"/>
        </w:rPr>
        <w:t xml:space="preserve">Ressalvados os casos previstos na Constituição, é vedada a acumulação remunerada de cargos públicos.</w:t>
      </w:r>
    </w:p>
    <w:p w:rsidR="00000000" w:rsidDel="00000000" w:rsidP="00000000" w:rsidRDefault="00000000" w:rsidRPr="00000000" w14:paraId="0000003D">
      <w:pPr>
        <w:shd w:fill="ffffff" w:val="clear"/>
        <w:ind w:left="-566.9291338582675" w:firstLine="0"/>
        <w:jc w:val="both"/>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 1º  </w:t>
      </w:r>
      <w:r w:rsidDel="00000000" w:rsidR="00000000" w:rsidRPr="00000000">
        <w:rPr>
          <w:rFonts w:ascii="Verdana" w:cs="Verdana" w:eastAsia="Verdana" w:hAnsi="Verdana"/>
          <w:sz w:val="16"/>
          <w:szCs w:val="16"/>
          <w:rtl w:val="0"/>
        </w:rPr>
        <w:t xml:space="preserve">A proibição de acumular estende-se a cargos, empregos e funções em autarquias, fundações públicas, empresas públicas, sociedades de economia mista da União, do Distrito Federal, dos Estados, dos Territórios e dos Municípios. </w:t>
      </w:r>
    </w:p>
    <w:p w:rsidR="00000000" w:rsidDel="00000000" w:rsidP="00000000" w:rsidRDefault="00000000" w:rsidRPr="00000000" w14:paraId="0000003E">
      <w:pPr>
        <w:shd w:fill="ffffff" w:val="clear"/>
        <w:ind w:left="-566.9291338582675" w:firstLine="0"/>
        <w:jc w:val="both"/>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 2º  </w:t>
      </w:r>
      <w:r w:rsidDel="00000000" w:rsidR="00000000" w:rsidRPr="00000000">
        <w:rPr>
          <w:rFonts w:ascii="Verdana" w:cs="Verdana" w:eastAsia="Verdana" w:hAnsi="Verdana"/>
          <w:sz w:val="16"/>
          <w:szCs w:val="16"/>
          <w:rtl w:val="0"/>
        </w:rPr>
        <w:t xml:space="preserve">A acumulação de cargos, ainda que lícita, fica condicionada à comprovação da compatibilidade de horários.</w:t>
      </w:r>
    </w:p>
    <w:p w:rsidR="00000000" w:rsidDel="00000000" w:rsidP="00000000" w:rsidRDefault="00000000" w:rsidRPr="00000000" w14:paraId="0000003F">
      <w:pPr>
        <w:shd w:fill="ffffff" w:val="clear"/>
        <w:ind w:left="-566.9291338582675" w:firstLine="0"/>
        <w:jc w:val="both"/>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 3º  </w:t>
      </w:r>
      <w:r w:rsidDel="00000000" w:rsidR="00000000" w:rsidRPr="00000000">
        <w:rPr>
          <w:rFonts w:ascii="Verdana" w:cs="Verdana" w:eastAsia="Verdana" w:hAnsi="Verdana"/>
          <w:sz w:val="16"/>
          <w:szCs w:val="16"/>
          <w:rtl w:val="0"/>
        </w:rPr>
        <w:t xml:space="preserve">Considera-se acumulação proibida a percepção de vencimento de cargo ou emprego público efetivo com proventos da inatividade, salvo quando os cargos de que decorram essas remunerações forem acumuláveis na atividade. (Incluído pela Lei nº 9.527, de 10.12.97)</w:t>
      </w:r>
      <w:r w:rsidDel="00000000" w:rsidR="00000000" w:rsidRPr="00000000">
        <w:rPr>
          <w:rtl w:val="0"/>
        </w:rPr>
      </w:r>
    </w:p>
    <w:p w:rsidR="00000000" w:rsidDel="00000000" w:rsidP="00000000" w:rsidRDefault="00000000" w:rsidRPr="00000000" w14:paraId="00000040">
      <w:pPr>
        <w:shd w:fill="ffffff" w:val="clear"/>
        <w:ind w:left="-566.9291338582675" w:firstLine="0"/>
        <w:jc w:val="both"/>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Art. 119.  </w:t>
      </w:r>
      <w:r w:rsidDel="00000000" w:rsidR="00000000" w:rsidRPr="00000000">
        <w:rPr>
          <w:rFonts w:ascii="Verdana" w:cs="Verdana" w:eastAsia="Verdana" w:hAnsi="Verdana"/>
          <w:sz w:val="16"/>
          <w:szCs w:val="16"/>
          <w:rtl w:val="0"/>
        </w:rPr>
        <w:t xml:space="preserve">O servidor não poderá exercer mais de um cargo em comissão, exceto no caso previsto no parágrafo único do art. 9º, nem ser remunerado pela participação em órgão de deliberação coletiva. (Redação dada pela Lei nº 9.527, de 10.12.97)</w:t>
      </w:r>
      <w:r w:rsidDel="00000000" w:rsidR="00000000" w:rsidRPr="00000000">
        <w:rPr>
          <w:rtl w:val="0"/>
        </w:rPr>
      </w:r>
    </w:p>
    <w:p w:rsidR="00000000" w:rsidDel="00000000" w:rsidP="00000000" w:rsidRDefault="00000000" w:rsidRPr="00000000" w14:paraId="00000041">
      <w:pPr>
        <w:shd w:fill="ffffff" w:val="clear"/>
        <w:ind w:left="-566.9291338582675" w:firstLine="0"/>
        <w:jc w:val="both"/>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Parágrafo único.  </w:t>
      </w:r>
      <w:r w:rsidDel="00000000" w:rsidR="00000000" w:rsidRPr="00000000">
        <w:rPr>
          <w:rFonts w:ascii="Verdana" w:cs="Verdana" w:eastAsia="Verdana" w:hAnsi="Verdana"/>
          <w:sz w:val="16"/>
          <w:szCs w:val="16"/>
          <w:rtl w:val="0"/>
        </w:rPr>
        <w:t xml:space="preserve">O disposto neste artigo não se aplica à remuneração devida pela participação em conselhos de administração e fiscal das empresas públicas e sociedades de economia mista, suas subsidiárias e controladas, bem como quaisquer empresas ou entidades em que a União, direta ou indiretamente, detenha participação no capital social, observado o que, a respeito, dispuser legislação específica. (Redação dada pela Medida Provisória nº 2.225-45, de 4.9.2001)</w:t>
      </w:r>
      <w:r w:rsidDel="00000000" w:rsidR="00000000" w:rsidRPr="00000000">
        <w:rPr>
          <w:rtl w:val="0"/>
        </w:rPr>
      </w:r>
    </w:p>
    <w:p w:rsidR="00000000" w:rsidDel="00000000" w:rsidP="00000000" w:rsidRDefault="00000000" w:rsidRPr="00000000" w14:paraId="00000042">
      <w:pPr>
        <w:shd w:fill="ffffff" w:val="clear"/>
        <w:ind w:left="-566.9291338582675" w:firstLine="0"/>
        <w:jc w:val="both"/>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Art. 120.  </w:t>
      </w:r>
      <w:r w:rsidDel="00000000" w:rsidR="00000000" w:rsidRPr="00000000">
        <w:rPr>
          <w:rFonts w:ascii="Verdana" w:cs="Verdana" w:eastAsia="Verdana" w:hAnsi="Verdana"/>
          <w:sz w:val="16"/>
          <w:szCs w:val="16"/>
          <w:rtl w:val="0"/>
        </w:rPr>
        <w:t xml:space="preserve">O servidor vinculado ao regime desta Lei, que acumular licitamente dois cargos efetivos, quando investido em cargo de provimento em comissão, ficará afastado de ambos os cargos efetivos, salvo na hipótese em que houver compatibilidade de horário e local com o exercício de um deles, declarada pelas autoridades máximas dos órgãos ou entidades envolvidos. (Redação dada pela Lei nº 9.527, de 10.12.97).</w:t>
      </w:r>
    </w:p>
    <w:p w:rsidR="00000000" w:rsidDel="00000000" w:rsidP="00000000" w:rsidRDefault="00000000" w:rsidRPr="00000000" w14:paraId="00000043">
      <w:pPr>
        <w:shd w:fill="ffffff" w:val="clear"/>
        <w:ind w:left="-566.9291338582675" w:firstLine="0"/>
        <w:jc w:val="both"/>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t>
      </w:r>
    </w:p>
    <w:p w:rsidR="00000000" w:rsidDel="00000000" w:rsidP="00000000" w:rsidRDefault="00000000" w:rsidRPr="00000000" w14:paraId="00000044">
      <w:pPr>
        <w:numPr>
          <w:ilvl w:val="0"/>
          <w:numId w:val="1"/>
        </w:numPr>
        <w:ind w:left="-566.9291338582675" w:firstLine="0"/>
        <w:jc w:val="both"/>
        <w:rPr>
          <w:rFonts w:ascii="Verdana" w:cs="Verdana" w:eastAsia="Verdana" w:hAnsi="Verdana"/>
          <w:sz w:val="16"/>
          <w:szCs w:val="16"/>
        </w:rPr>
      </w:pPr>
      <w:r w:rsidDel="00000000" w:rsidR="00000000" w:rsidRPr="00000000">
        <w:rPr>
          <w:rFonts w:ascii="Verdana" w:cs="Verdana" w:eastAsia="Verdana" w:hAnsi="Verdana"/>
          <w:b w:val="1"/>
          <w:sz w:val="16"/>
          <w:szCs w:val="16"/>
          <w:highlight w:val="white"/>
          <w:rtl w:val="0"/>
        </w:rPr>
        <w:t xml:space="preserve">Art. 132.</w:t>
      </w:r>
      <w:r w:rsidDel="00000000" w:rsidR="00000000" w:rsidRPr="00000000">
        <w:rPr>
          <w:rFonts w:ascii="Verdana" w:cs="Verdana" w:eastAsia="Verdana" w:hAnsi="Verdana"/>
          <w:sz w:val="16"/>
          <w:szCs w:val="16"/>
          <w:highlight w:val="white"/>
          <w:rtl w:val="0"/>
        </w:rPr>
        <w:t xml:space="preserve">  A demissão será aplicada nos seguintes casos:</w:t>
      </w:r>
    </w:p>
    <w:p w:rsidR="00000000" w:rsidDel="00000000" w:rsidP="00000000" w:rsidRDefault="00000000" w:rsidRPr="00000000" w14:paraId="00000045">
      <w:pPr>
        <w:numPr>
          <w:ilvl w:val="0"/>
          <w:numId w:val="1"/>
        </w:numPr>
        <w:ind w:left="-566.9291338582675" w:firstLine="0"/>
        <w:jc w:val="both"/>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t>
      </w:r>
    </w:p>
    <w:p w:rsidR="00000000" w:rsidDel="00000000" w:rsidP="00000000" w:rsidRDefault="00000000" w:rsidRPr="00000000" w14:paraId="00000046">
      <w:pPr>
        <w:pStyle w:val="Heading1"/>
        <w:keepLines w:val="0"/>
        <w:spacing w:after="0" w:before="0" w:lineRule="auto"/>
        <w:ind w:left="-566.9291338582675" w:firstLine="0"/>
        <w:jc w:val="both"/>
        <w:rPr>
          <w:rFonts w:ascii="Verdana" w:cs="Verdana" w:eastAsia="Verdana" w:hAnsi="Verdana"/>
          <w:b w:val="0"/>
          <w:sz w:val="16"/>
          <w:szCs w:val="16"/>
        </w:rPr>
      </w:pPr>
      <w:bookmarkStart w:colFirst="0" w:colLast="0" w:name="_h2jsbl34ox4j" w:id="0"/>
      <w:bookmarkEnd w:id="0"/>
      <w:r w:rsidDel="00000000" w:rsidR="00000000" w:rsidRPr="00000000">
        <w:rPr>
          <w:rFonts w:ascii="Verdana" w:cs="Verdana" w:eastAsia="Verdana" w:hAnsi="Verdana"/>
          <w:sz w:val="16"/>
          <w:szCs w:val="16"/>
          <w:rtl w:val="0"/>
        </w:rPr>
        <w:t xml:space="preserve">XII - </w:t>
      </w:r>
      <w:r w:rsidDel="00000000" w:rsidR="00000000" w:rsidRPr="00000000">
        <w:rPr>
          <w:rFonts w:ascii="Verdana" w:cs="Verdana" w:eastAsia="Verdana" w:hAnsi="Verdana"/>
          <w:b w:val="0"/>
          <w:sz w:val="16"/>
          <w:szCs w:val="16"/>
          <w:rtl w:val="0"/>
        </w:rPr>
        <w:t xml:space="preserve">acumulação ilegal de cargos, empregos ou funções públicas;”</w:t>
      </w:r>
    </w:p>
    <w:p w:rsidR="00000000" w:rsidDel="00000000" w:rsidP="00000000" w:rsidRDefault="00000000" w:rsidRPr="00000000" w14:paraId="00000047">
      <w:pPr>
        <w:shd w:fill="ffffff" w:val="clear"/>
        <w:ind w:left="-566.9291338582675" w:firstLine="0"/>
        <w:jc w:val="both"/>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48">
      <w:pPr>
        <w:shd w:fill="ffffff" w:val="clear"/>
        <w:ind w:left="-566.9291338582675" w:firstLine="0"/>
        <w:jc w:val="both"/>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Decisão do STF RE nº 163204-6 </w:t>
      </w:r>
    </w:p>
    <w:p w:rsidR="00000000" w:rsidDel="00000000" w:rsidP="00000000" w:rsidRDefault="00000000" w:rsidRPr="00000000" w14:paraId="00000049">
      <w:pPr>
        <w:shd w:fill="ffffff" w:val="clear"/>
        <w:ind w:left="-566.9291338582675" w:firstLine="0"/>
        <w:jc w:val="both"/>
        <w:rPr/>
      </w:pPr>
      <w:r w:rsidDel="00000000" w:rsidR="00000000" w:rsidRPr="00000000">
        <w:rPr>
          <w:rFonts w:ascii="Verdana" w:cs="Verdana" w:eastAsia="Verdana" w:hAnsi="Verdana"/>
          <w:b w:val="1"/>
          <w:sz w:val="16"/>
          <w:szCs w:val="16"/>
          <w:rtl w:val="0"/>
        </w:rPr>
        <w:t xml:space="preserve">“</w:t>
      </w:r>
      <w:r w:rsidDel="00000000" w:rsidR="00000000" w:rsidRPr="00000000">
        <w:rPr>
          <w:rFonts w:ascii="Verdana" w:cs="Verdana" w:eastAsia="Verdana" w:hAnsi="Verdana"/>
          <w:sz w:val="16"/>
          <w:szCs w:val="16"/>
          <w:rtl w:val="0"/>
        </w:rPr>
        <w:t xml:space="preserve">A acumulação de proventos e vencimentos somente é permitida quando se tratar de cargos, funções ou empregos acumuláveis na atividade, na forma permitida pela Constituição. C.F., art. 37, XVI, XVII”.</w:t>
      </w:r>
      <w:r w:rsidDel="00000000" w:rsidR="00000000" w:rsidRPr="00000000">
        <w:rPr>
          <w:rtl w:val="0"/>
        </w:rPr>
      </w:r>
    </w:p>
    <w:p w:rsidR="00000000" w:rsidDel="00000000" w:rsidP="00000000" w:rsidRDefault="00000000" w:rsidRPr="00000000" w14:paraId="0000004A">
      <w:pPr>
        <w:shd w:fill="ffffff" w:val="clear"/>
        <w:ind w:left="-566.9291338582675" w:firstLine="0"/>
        <w:jc w:val="both"/>
        <w:rPr>
          <w:rFonts w:ascii="Verdana" w:cs="Verdana" w:eastAsia="Verdana" w:hAnsi="Verdana"/>
          <w:b w:val="1"/>
          <w:sz w:val="16"/>
          <w:szCs w:val="16"/>
        </w:rPr>
      </w:pPr>
      <w:r w:rsidDel="00000000" w:rsidR="00000000" w:rsidRPr="00000000">
        <w:rPr>
          <w:rtl w:val="0"/>
        </w:rPr>
      </w:r>
    </w:p>
    <w:p w:rsidR="00000000" w:rsidDel="00000000" w:rsidP="00000000" w:rsidRDefault="00000000" w:rsidRPr="00000000" w14:paraId="0000004B">
      <w:pPr>
        <w:shd w:fill="ffffff" w:val="clear"/>
        <w:ind w:left="-566.9291338582675" w:firstLine="0"/>
        <w:jc w:val="both"/>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Súmula nº 246</w:t>
      </w:r>
      <w:r w:rsidDel="00000000" w:rsidR="00000000" w:rsidRPr="00000000">
        <w:rPr>
          <w:rFonts w:ascii="Verdana" w:cs="Verdana" w:eastAsia="Verdana" w:hAnsi="Verdana"/>
          <w:sz w:val="16"/>
          <w:szCs w:val="16"/>
          <w:rtl w:val="0"/>
        </w:rPr>
        <w:t xml:space="preserve"> </w:t>
      </w:r>
      <w:r w:rsidDel="00000000" w:rsidR="00000000" w:rsidRPr="00000000">
        <w:rPr>
          <w:rFonts w:ascii="Verdana" w:cs="Verdana" w:eastAsia="Verdana" w:hAnsi="Verdana"/>
          <w:b w:val="1"/>
          <w:sz w:val="16"/>
          <w:szCs w:val="16"/>
          <w:rtl w:val="0"/>
        </w:rPr>
        <w:t xml:space="preserve">do TCU</w:t>
      </w:r>
      <w:r w:rsidDel="00000000" w:rsidR="00000000" w:rsidRPr="00000000">
        <w:rPr>
          <w:rtl w:val="0"/>
        </w:rPr>
      </w:r>
    </w:p>
    <w:p w:rsidR="00000000" w:rsidDel="00000000" w:rsidP="00000000" w:rsidRDefault="00000000" w:rsidRPr="00000000" w14:paraId="0000004C">
      <w:pPr>
        <w:pStyle w:val="Heading1"/>
        <w:keepLines w:val="0"/>
        <w:numPr>
          <w:ilvl w:val="0"/>
          <w:numId w:val="1"/>
        </w:numPr>
        <w:tabs>
          <w:tab w:val="left" w:leader="none" w:pos="0"/>
        </w:tabs>
        <w:spacing w:after="0" w:before="0" w:lineRule="auto"/>
        <w:ind w:left="-566.9291338582675" w:firstLine="0"/>
        <w:jc w:val="both"/>
        <w:rPr>
          <w:rFonts w:ascii="Verdana" w:cs="Verdana" w:eastAsia="Verdana" w:hAnsi="Verdana"/>
          <w:sz w:val="16"/>
          <w:szCs w:val="16"/>
        </w:rPr>
      </w:pPr>
      <w:r w:rsidDel="00000000" w:rsidR="00000000" w:rsidRPr="00000000">
        <w:rPr>
          <w:rFonts w:ascii="Verdana" w:cs="Verdana" w:eastAsia="Verdana" w:hAnsi="Verdana"/>
          <w:b w:val="0"/>
          <w:sz w:val="16"/>
          <w:szCs w:val="16"/>
          <w:rtl w:val="0"/>
        </w:rPr>
        <w:t xml:space="preserve">“O fato de o servidor licenciar-se, sem vencimentos, do cargo público ou emprego que exerça em órgão ou entidade da administração direta ou indireta não o habilita a tomar posse em outro cargo ou emprego público, sem incidir no exercício cumulativo vedado pelo artigo 37 da Constituição Federal, pois que o instituto da acumulação de cargos se dirige à titularidade de cargos, empregos e funções públicas, e não apenas à percepção de vantagens pecuniárias”.</w:t>
      </w:r>
      <w:r w:rsidDel="00000000" w:rsidR="00000000" w:rsidRPr="00000000">
        <w:rPr>
          <w:rtl w:val="0"/>
        </w:rPr>
      </w:r>
    </w:p>
    <w:p w:rsidR="00000000" w:rsidDel="00000000" w:rsidP="00000000" w:rsidRDefault="00000000" w:rsidRPr="00000000" w14:paraId="0000004D">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Verdana" w:cs="Verdana" w:eastAsia="Verdana" w:hAnsi="Verdana"/>
          <w:b w:val="1"/>
          <w:sz w:val="16"/>
          <w:szCs w:val="16"/>
        </w:rPr>
      </w:pPr>
      <w:r w:rsidDel="00000000" w:rsidR="00000000" w:rsidRPr="00000000">
        <w:rPr>
          <w:rtl w:val="0"/>
        </w:rPr>
      </w:r>
    </w:p>
    <w:p w:rsidR="00000000" w:rsidDel="00000000" w:rsidP="00000000" w:rsidRDefault="00000000" w:rsidRPr="00000000" w14:paraId="0000004E">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F">
      <w:pPr>
        <w:spacing w:line="480" w:lineRule="auto"/>
        <w:jc w:val="both"/>
        <w:rPr>
          <w:rFonts w:ascii="Verdana" w:cs="Verdana" w:eastAsia="Verdana" w:hAnsi="Verdana"/>
          <w:b w:val="0"/>
          <w:sz w:val="16"/>
          <w:szCs w:val="16"/>
          <w:vertAlign w:val="baseline"/>
        </w:rPr>
      </w:pPr>
      <w:r w:rsidDel="00000000" w:rsidR="00000000" w:rsidRPr="00000000">
        <w:rPr>
          <w:rtl w:val="0"/>
        </w:rPr>
      </w:r>
    </w:p>
    <w:sectPr>
      <w:headerReference r:id="rId8" w:type="default"/>
      <w:footerReference r:id="rId9" w:type="default"/>
      <w:footerReference r:id="rId10" w:type="even"/>
      <w:pgSz w:h="16837" w:w="11905" w:orient="portrait"/>
      <w:pgMar w:bottom="993" w:top="851" w:left="1797" w:right="11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Verdan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0" w:firstLine="0"/>
      </w:pPr>
      <w:rPr>
        <w:u w:val="none"/>
      </w:rPr>
    </w:lvl>
    <w:lvl w:ilvl="1">
      <w:start w:val="1"/>
      <w:numFmt w:val="decimal"/>
      <w:lvlText w:val=""/>
      <w:lvlJc w:val="left"/>
      <w:pPr>
        <w:ind w:left="0" w:firstLine="0"/>
      </w:pPr>
      <w:rPr>
        <w:u w:val="none"/>
      </w:rPr>
    </w:lvl>
    <w:lvl w:ilvl="2">
      <w:start w:val="1"/>
      <w:numFmt w:val="decimal"/>
      <w:lvlText w:val=""/>
      <w:lvlJc w:val="left"/>
      <w:pPr>
        <w:ind w:left="0" w:firstLine="0"/>
      </w:pPr>
      <w:rPr>
        <w:u w:val="none"/>
      </w:rPr>
    </w:lvl>
    <w:lvl w:ilvl="3">
      <w:start w:val="1"/>
      <w:numFmt w:val="decimal"/>
      <w:lvlText w:val=""/>
      <w:lvlJc w:val="left"/>
      <w:pPr>
        <w:ind w:left="0" w:firstLine="0"/>
      </w:pPr>
      <w:rPr>
        <w:u w:val="none"/>
      </w:rPr>
    </w:lvl>
    <w:lvl w:ilvl="4">
      <w:start w:val="1"/>
      <w:numFmt w:val="decimal"/>
      <w:lvlText w:val=""/>
      <w:lvlJc w:val="left"/>
      <w:pPr>
        <w:ind w:left="0" w:firstLine="0"/>
      </w:pPr>
      <w:rPr>
        <w:u w:val="none"/>
      </w:rPr>
    </w:lvl>
    <w:lvl w:ilvl="5">
      <w:start w:val="1"/>
      <w:numFmt w:val="decimal"/>
      <w:lvlText w:val=""/>
      <w:lvlJc w:val="left"/>
      <w:pPr>
        <w:ind w:left="0" w:firstLine="0"/>
      </w:pPr>
      <w:rPr>
        <w:u w:val="none"/>
      </w:rPr>
    </w:lvl>
    <w:lvl w:ilvl="6">
      <w:start w:val="1"/>
      <w:numFmt w:val="decimal"/>
      <w:lvlText w:val=""/>
      <w:lvlJc w:val="left"/>
      <w:pPr>
        <w:ind w:left="0" w:firstLine="0"/>
      </w:pPr>
      <w:rPr>
        <w:u w:val="none"/>
      </w:rPr>
    </w:lvl>
    <w:lvl w:ilvl="7">
      <w:start w:val="1"/>
      <w:numFmt w:val="decimal"/>
      <w:lvlText w:val=""/>
      <w:lvlJc w:val="left"/>
      <w:pPr>
        <w:ind w:left="0" w:firstLine="0"/>
      </w:pPr>
      <w:rPr>
        <w:u w:val="none"/>
      </w:rPr>
    </w:lvl>
    <w:lvl w:ilvl="8">
      <w:start w:val="1"/>
      <w:numFmt w:val="decimal"/>
      <w:lvlText w:val=""/>
      <w:lvlJc w:val="left"/>
      <w:pPr>
        <w:ind w:left="0" w:firstLine="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_BR"/>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